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8A" w:rsidRPr="00DC1DDF" w:rsidRDefault="00943557" w:rsidP="00DC1DDF">
      <w:pPr>
        <w:jc w:val="center"/>
        <w:rPr>
          <w:rFonts w:ascii="微软雅黑" w:eastAsia="微软雅黑" w:hAnsi="微软雅黑"/>
        </w:rPr>
      </w:pPr>
      <w:r w:rsidRPr="00DC1DDF">
        <w:rPr>
          <w:rFonts w:ascii="微软雅黑" w:eastAsia="微软雅黑" w:hAnsi="微软雅黑" w:hint="eastAsia"/>
        </w:rPr>
        <w:t>上海市文社艺术</w:t>
      </w:r>
      <w:r w:rsidR="00537C8A" w:rsidRPr="00DC1DDF">
        <w:rPr>
          <w:rFonts w:ascii="微软雅黑" w:eastAsia="微软雅黑" w:hAnsi="微软雅黑" w:hint="eastAsia"/>
        </w:rPr>
        <w:t>基金会项目管理制度</w:t>
      </w:r>
    </w:p>
    <w:tbl>
      <w:tblPr>
        <w:tblW w:w="8260" w:type="dxa"/>
        <w:tblInd w:w="85" w:type="dxa"/>
        <w:tblLook w:val="04A0"/>
      </w:tblPr>
      <w:tblGrid>
        <w:gridCol w:w="1560"/>
        <w:gridCol w:w="1680"/>
        <w:gridCol w:w="1220"/>
        <w:gridCol w:w="1260"/>
        <w:gridCol w:w="1240"/>
        <w:gridCol w:w="1300"/>
      </w:tblGrid>
      <w:tr w:rsidR="008D0A1B" w:rsidRPr="008D0A1B" w:rsidTr="008D0A1B">
        <w:trPr>
          <w:trHeight w:val="345"/>
        </w:trPr>
        <w:tc>
          <w:tcPr>
            <w:tcW w:w="156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文件名</w:t>
            </w:r>
          </w:p>
        </w:tc>
        <w:tc>
          <w:tcPr>
            <w:tcW w:w="1680" w:type="dxa"/>
            <w:tcBorders>
              <w:top w:val="double" w:sz="6" w:space="0" w:color="auto"/>
              <w:left w:val="nil"/>
              <w:bottom w:val="single" w:sz="4" w:space="0" w:color="auto"/>
              <w:right w:val="single" w:sz="4"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文件编号</w:t>
            </w:r>
          </w:p>
        </w:tc>
        <w:tc>
          <w:tcPr>
            <w:tcW w:w="1220" w:type="dxa"/>
            <w:tcBorders>
              <w:top w:val="double" w:sz="6" w:space="0" w:color="auto"/>
              <w:left w:val="nil"/>
              <w:bottom w:val="single" w:sz="4" w:space="0" w:color="auto"/>
              <w:right w:val="single" w:sz="4"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审批人</w:t>
            </w:r>
          </w:p>
        </w:tc>
        <w:tc>
          <w:tcPr>
            <w:tcW w:w="1260" w:type="dxa"/>
            <w:tcBorders>
              <w:top w:val="double" w:sz="6" w:space="0" w:color="auto"/>
              <w:left w:val="nil"/>
              <w:bottom w:val="single" w:sz="4" w:space="0" w:color="auto"/>
              <w:right w:val="single" w:sz="4"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编制日期</w:t>
            </w:r>
          </w:p>
        </w:tc>
        <w:tc>
          <w:tcPr>
            <w:tcW w:w="1240" w:type="dxa"/>
            <w:tcBorders>
              <w:top w:val="double" w:sz="6" w:space="0" w:color="auto"/>
              <w:left w:val="nil"/>
              <w:bottom w:val="single" w:sz="4" w:space="0" w:color="auto"/>
              <w:right w:val="single" w:sz="4"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生效日期</w:t>
            </w:r>
          </w:p>
        </w:tc>
        <w:tc>
          <w:tcPr>
            <w:tcW w:w="1300" w:type="dxa"/>
            <w:tcBorders>
              <w:top w:val="double" w:sz="6" w:space="0" w:color="auto"/>
              <w:left w:val="nil"/>
              <w:bottom w:val="single" w:sz="4" w:space="0" w:color="auto"/>
              <w:right w:val="double" w:sz="6"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修订日期</w:t>
            </w:r>
          </w:p>
        </w:tc>
      </w:tr>
      <w:tr w:rsidR="008D0A1B" w:rsidRPr="008D0A1B" w:rsidTr="00F25385">
        <w:trPr>
          <w:trHeight w:val="973"/>
        </w:trPr>
        <w:tc>
          <w:tcPr>
            <w:tcW w:w="1560" w:type="dxa"/>
            <w:tcBorders>
              <w:top w:val="nil"/>
              <w:left w:val="double" w:sz="6" w:space="0" w:color="auto"/>
              <w:bottom w:val="double" w:sz="6" w:space="0" w:color="auto"/>
              <w:right w:val="single" w:sz="4" w:space="0" w:color="auto"/>
            </w:tcBorders>
            <w:shd w:val="clear" w:color="auto" w:fill="auto"/>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项目管理制度</w:t>
            </w:r>
          </w:p>
        </w:tc>
        <w:tc>
          <w:tcPr>
            <w:tcW w:w="1680" w:type="dxa"/>
            <w:tcBorders>
              <w:top w:val="nil"/>
              <w:left w:val="nil"/>
              <w:bottom w:val="double" w:sz="6" w:space="0" w:color="auto"/>
              <w:right w:val="single" w:sz="4" w:space="0" w:color="auto"/>
            </w:tcBorders>
            <w:shd w:val="clear" w:color="auto" w:fill="auto"/>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CC管理字</w:t>
            </w:r>
            <w:r w:rsidRPr="008D0A1B">
              <w:rPr>
                <w:rFonts w:ascii="微软雅黑" w:eastAsia="微软雅黑" w:hAnsi="微软雅黑" w:cs="宋体" w:hint="eastAsia"/>
                <w:color w:val="000000"/>
                <w:kern w:val="0"/>
                <w:sz w:val="22"/>
              </w:rPr>
              <w:br/>
              <w:t>【2017】001</w:t>
            </w:r>
          </w:p>
        </w:tc>
        <w:tc>
          <w:tcPr>
            <w:tcW w:w="1220" w:type="dxa"/>
            <w:tcBorders>
              <w:top w:val="nil"/>
              <w:left w:val="nil"/>
              <w:bottom w:val="double" w:sz="6" w:space="0" w:color="auto"/>
              <w:right w:val="single" w:sz="4"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 xml:space="preserve">　</w:t>
            </w:r>
          </w:p>
        </w:tc>
        <w:tc>
          <w:tcPr>
            <w:tcW w:w="1260" w:type="dxa"/>
            <w:tcBorders>
              <w:top w:val="nil"/>
              <w:left w:val="nil"/>
              <w:bottom w:val="double" w:sz="6" w:space="0" w:color="auto"/>
              <w:right w:val="single" w:sz="4"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2017.4.30</w:t>
            </w:r>
          </w:p>
        </w:tc>
        <w:tc>
          <w:tcPr>
            <w:tcW w:w="1240" w:type="dxa"/>
            <w:tcBorders>
              <w:top w:val="nil"/>
              <w:left w:val="nil"/>
              <w:bottom w:val="double" w:sz="6" w:space="0" w:color="auto"/>
              <w:right w:val="single" w:sz="4"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 xml:space="preserve">　</w:t>
            </w:r>
          </w:p>
        </w:tc>
        <w:tc>
          <w:tcPr>
            <w:tcW w:w="1300" w:type="dxa"/>
            <w:tcBorders>
              <w:top w:val="nil"/>
              <w:left w:val="nil"/>
              <w:bottom w:val="double" w:sz="6" w:space="0" w:color="auto"/>
              <w:right w:val="double" w:sz="6" w:space="0" w:color="auto"/>
            </w:tcBorders>
            <w:shd w:val="clear" w:color="auto" w:fill="auto"/>
            <w:noWrap/>
            <w:vAlign w:val="center"/>
            <w:hideMark/>
          </w:tcPr>
          <w:p w:rsidR="008D0A1B" w:rsidRPr="008D0A1B" w:rsidRDefault="008D0A1B" w:rsidP="008D0A1B">
            <w:pPr>
              <w:widowControl/>
              <w:jc w:val="left"/>
              <w:rPr>
                <w:rFonts w:ascii="微软雅黑" w:eastAsia="微软雅黑" w:hAnsi="微软雅黑" w:cs="宋体"/>
                <w:color w:val="000000"/>
                <w:kern w:val="0"/>
                <w:sz w:val="22"/>
              </w:rPr>
            </w:pPr>
            <w:r w:rsidRPr="008D0A1B">
              <w:rPr>
                <w:rFonts w:ascii="微软雅黑" w:eastAsia="微软雅黑" w:hAnsi="微软雅黑" w:cs="宋体" w:hint="eastAsia"/>
                <w:color w:val="000000"/>
                <w:kern w:val="0"/>
                <w:sz w:val="22"/>
              </w:rPr>
              <w:t xml:space="preserve">　</w:t>
            </w:r>
          </w:p>
        </w:tc>
      </w:tr>
    </w:tbl>
    <w:p w:rsidR="00537C8A" w:rsidRPr="00DC1DDF" w:rsidRDefault="00537C8A" w:rsidP="00537C8A">
      <w:pPr>
        <w:rPr>
          <w:rFonts w:ascii="微软雅黑" w:eastAsia="微软雅黑" w:hAnsi="微软雅黑"/>
        </w:rPr>
      </w:pP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第一章 </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总则</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第一条 为</w:t>
      </w:r>
      <w:r w:rsidR="00123E9E" w:rsidRPr="00DC1DDF">
        <w:rPr>
          <w:rFonts w:ascii="微软雅黑" w:eastAsia="微软雅黑" w:hAnsi="微软雅黑" w:hint="eastAsia"/>
        </w:rPr>
        <w:t>了</w:t>
      </w:r>
      <w:r w:rsidRPr="00DC1DDF">
        <w:rPr>
          <w:rFonts w:ascii="微软雅黑" w:eastAsia="微软雅黑" w:hAnsi="微软雅黑" w:hint="eastAsia"/>
        </w:rPr>
        <w:t>规范</w:t>
      </w:r>
      <w:r w:rsidR="00123E9E" w:rsidRPr="00DC1DDF">
        <w:rPr>
          <w:rFonts w:ascii="微软雅黑" w:eastAsia="微软雅黑" w:hAnsi="微软雅黑" w:hint="eastAsia"/>
        </w:rPr>
        <w:t>上海市文社艺术</w:t>
      </w:r>
      <w:r w:rsidRPr="00DC1DDF">
        <w:rPr>
          <w:rFonts w:ascii="微软雅黑" w:eastAsia="微软雅黑" w:hAnsi="微软雅黑" w:hint="eastAsia"/>
        </w:rPr>
        <w:t>基金会（以下简称基金会）项目的管理，确保项目运行的合法、合规、合理，实现项目的预期目标，维护基金会、捐赠方和受益方的合法权益，根据《基金会管理条例》、《</w:t>
      </w:r>
      <w:r w:rsidR="00123E9E" w:rsidRPr="00DC1DDF">
        <w:rPr>
          <w:rFonts w:ascii="微软雅黑" w:eastAsia="微软雅黑" w:hAnsi="微软雅黑" w:hint="eastAsia"/>
        </w:rPr>
        <w:t>上海市文社艺术</w:t>
      </w:r>
      <w:r w:rsidRPr="00DC1DDF">
        <w:rPr>
          <w:rFonts w:ascii="微软雅黑" w:eastAsia="微软雅黑" w:hAnsi="微软雅黑" w:hint="eastAsia"/>
        </w:rPr>
        <w:t>基金会章程》及国家相关法律法规，参照国内外先进的项目管理制度，特制定本制度；</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第二条 本制度适用于</w:t>
      </w:r>
      <w:r w:rsidR="00123E9E" w:rsidRPr="00DC1DDF">
        <w:rPr>
          <w:rFonts w:ascii="微软雅黑" w:eastAsia="微软雅黑" w:hAnsi="微软雅黑" w:hint="eastAsia"/>
        </w:rPr>
        <w:t>上海市</w:t>
      </w:r>
      <w:r w:rsidRPr="00DC1DDF">
        <w:rPr>
          <w:rFonts w:ascii="微软雅黑" w:eastAsia="微软雅黑" w:hAnsi="微软雅黑" w:hint="eastAsia"/>
        </w:rPr>
        <w:t>慈</w:t>
      </w:r>
      <w:r w:rsidR="00123E9E" w:rsidRPr="00DC1DDF">
        <w:rPr>
          <w:rFonts w:ascii="微软雅黑" w:eastAsia="微软雅黑" w:hAnsi="微软雅黑" w:hint="eastAsia"/>
        </w:rPr>
        <w:t>文社艺术</w:t>
      </w:r>
      <w:r w:rsidRPr="00DC1DDF">
        <w:rPr>
          <w:rFonts w:ascii="微软雅黑" w:eastAsia="微软雅黑" w:hAnsi="微软雅黑" w:hint="eastAsia"/>
        </w:rPr>
        <w:t>基金会的资助资金，专注于</w:t>
      </w:r>
      <w:r w:rsidR="00123E9E" w:rsidRPr="00DC1DDF">
        <w:rPr>
          <w:rFonts w:ascii="微软雅黑" w:eastAsia="微软雅黑" w:hAnsi="微软雅黑" w:hint="eastAsia"/>
        </w:rPr>
        <w:t>本市文化艺术展示、创</w:t>
      </w:r>
      <w:r w:rsidR="00BC750A" w:rsidRPr="00DC1DDF">
        <w:rPr>
          <w:rFonts w:ascii="微软雅黑" w:eastAsia="微软雅黑" w:hAnsi="微软雅黑" w:hint="eastAsia"/>
        </w:rPr>
        <w:t>新和交流活动；资助艺术创新型人才培训；资助典藏艺术品机构和艺术库建立的管理。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 第三条 本制度包括对项目立项、项目实施、项目资金、项目评估、项目信息的管理。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第二章   项目立项管理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第四条 项目的立项与管理工作须遵循“择优支持、公正合理、平等竞争、激励创新”的原则，符合基金会宗旨和章程的有关规定，综合考虑项目的公益性、可行性、实效性及持续性；</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 第五条 项目立项需提交《项目立项报告》，内容包括：项目背景、社会意义、前期调研、可行性分析（包括是否符合基金会宗旨）、实施计划（实施目标、内容、进度及预算）、评估方法等；</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第六条所有项目均需经过基金会秘书处、专家委员会评估、理事长或其指定代理人批准，经批准的项目可进入实施阶段；</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lastRenderedPageBreak/>
        <w:t>第七条实行项目责任管理制度，配备专职人员，行使项目管理职责。</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第三章项目实施管理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第八条推行项目负责人制度，对项目实施进行全过程监管，负责整个项目的日常管理、检查验收、定期汇报，确保项目按计划有序推进、资金流转按预算执行、项目效果按绩效输出；</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第九条组织制订项目年度计划及预算，报基金会理事会批准；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项目年度计划应当作为年度内项目执行的基础，但不因此而限制项目的实施与发展；如果在实施过程中出现新的项目机会或项目关键因素发生重大变化，在充分论证的基础上可适度对年度计划进行调整，并报理事会批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第十条项目执行需制定统一的项目管理手册，按照标准组织项目的实施、督导与评估，保证项目顺利执行；</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第十一条定期组织召开项目阶段性工作总结，及时向基金会秘书处及理事会汇报项目实施进展及绩效完成情况；</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第十二条项目参与方须严格遵守相关保密规定：不得擅自复制、泄露或以任何形式剽窃项目研究内容；不得泄露评议及评审过程中的情况和未经批准公示的评审结果。</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第四章项目资金管理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第十三条基金会对项目资金实行预算制管理。由项目负责人根据项目合作协议及批准的项目立项报告、实施方案和年度计划，编制年度项目经费预算，经基金会项目部和财务部审核后，由</w:t>
      </w:r>
      <w:r w:rsidR="005F23BE" w:rsidRPr="00DC1DDF">
        <w:rPr>
          <w:rFonts w:ascii="微软雅黑" w:eastAsia="微软雅黑" w:hAnsi="微软雅黑" w:hint="eastAsia"/>
        </w:rPr>
        <w:t>秘书长和理事长</w:t>
      </w:r>
      <w:r w:rsidRPr="00DC1DDF">
        <w:rPr>
          <w:rFonts w:ascii="微软雅黑" w:eastAsia="微软雅黑" w:hAnsi="微软雅黑" w:hint="eastAsia"/>
        </w:rPr>
        <w:t>批准后执行；</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第十四条基金会依据项目合作协议条款、经费预算、项目进度、检查与验收结果，向项目实施单位拨付项目资金，项目实施单位向基金会提供合法有效的发票；</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第十五条项目实施单位按预算对项目资金实行报账制管理。每笔开支必须经项目负责人审核批准后方能报销，确保项目资金的合法、合理、规范、高效使用；</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lastRenderedPageBreak/>
        <w:t>第十六条基金会项目部应会同财务部对项目负责人及项目实施 单位的执行情况与资金使用情况进行检查、监督和审计，并向秘书处和理事会汇报项目阶段性或项目完结财务报告；</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第十七条申请拨款前，项目负责人或项目实施单位须提交项目阶段性或项目完结绩效评估报告，基金会项目部会同财务部审查无误后，方可拨款；</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第十八条项目资金的管理和使用应接受上级财政部门、业务主管部门、登记机关和基金会监事会的检查与监督，项目负责人应积极配合并提供有关材料。</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第五章项目评估管理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第十九条项目负责人定期提交项目报告，由基金会</w:t>
      </w:r>
      <w:r w:rsidRPr="00DC1DDF">
        <w:rPr>
          <w:rFonts w:ascii="微软雅黑" w:eastAsia="微软雅黑" w:hAnsi="微软雅黑" w:hint="eastAsia"/>
          <w:highlight w:val="yellow"/>
        </w:rPr>
        <w:t>专家委员会</w:t>
      </w:r>
      <w:r w:rsidRPr="00DC1DDF">
        <w:rPr>
          <w:rFonts w:ascii="微软雅黑" w:eastAsia="微软雅黑" w:hAnsi="微软雅黑" w:hint="eastAsia"/>
        </w:rPr>
        <w:t>依据实际情况进行检查验收，报秘书处及理事会批准，评估项目执行进展情况；</w:t>
      </w:r>
    </w:p>
    <w:p w:rsidR="00392A09" w:rsidRPr="00DC1DDF" w:rsidRDefault="00537C8A" w:rsidP="00537C8A">
      <w:pPr>
        <w:rPr>
          <w:rFonts w:ascii="微软雅黑" w:eastAsia="微软雅黑" w:hAnsi="微软雅黑"/>
        </w:rPr>
      </w:pPr>
      <w:r w:rsidRPr="00DC1DDF">
        <w:rPr>
          <w:rFonts w:ascii="微软雅黑" w:eastAsia="微软雅黑" w:hAnsi="微软雅黑" w:hint="eastAsia"/>
        </w:rPr>
        <w:t>第二十条项目结束阶段，经基金会专家委员会对项目进行终结检查评估后，形成项目总结与评价意见，总结项目优缺点，评价项目效果，指导后续项目的开展。</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第二十</w:t>
      </w:r>
      <w:r w:rsidR="005F23BE" w:rsidRPr="00DC1DDF">
        <w:rPr>
          <w:rFonts w:ascii="微软雅黑" w:eastAsia="微软雅黑" w:hAnsi="微软雅黑" w:hint="eastAsia"/>
        </w:rPr>
        <w:t>一</w:t>
      </w:r>
      <w:r w:rsidRPr="00DC1DDF">
        <w:rPr>
          <w:rFonts w:ascii="微软雅黑" w:eastAsia="微软雅黑" w:hAnsi="微软雅黑" w:hint="eastAsia"/>
        </w:rPr>
        <w:t>条项目实施结束后，基金会项目部须向基金会提出结项申请，并报秘书长批准。所有项目文件由项目部统一备案，并在基金会档案管理系统中备份；</w:t>
      </w:r>
    </w:p>
    <w:p w:rsidR="00537C8A" w:rsidRPr="00DC1DDF" w:rsidRDefault="00537C8A" w:rsidP="00537C8A">
      <w:pPr>
        <w:rPr>
          <w:rFonts w:ascii="微软雅黑" w:eastAsia="微软雅黑" w:hAnsi="微软雅黑"/>
        </w:rPr>
      </w:pP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第六章项目信息管理</w:t>
      </w:r>
    </w:p>
    <w:p w:rsidR="00537C8A" w:rsidRPr="00DC1DDF" w:rsidRDefault="00537C8A" w:rsidP="00537C8A">
      <w:pPr>
        <w:rPr>
          <w:rFonts w:ascii="微软雅黑" w:eastAsia="微软雅黑" w:hAnsi="微软雅黑"/>
        </w:rPr>
      </w:pP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第二十</w:t>
      </w:r>
      <w:r w:rsidR="005F23BE" w:rsidRPr="00DC1DDF">
        <w:rPr>
          <w:rFonts w:ascii="微软雅黑" w:eastAsia="微软雅黑" w:hAnsi="微软雅黑" w:hint="eastAsia"/>
        </w:rPr>
        <w:t>二</w:t>
      </w:r>
      <w:r w:rsidRPr="00DC1DDF">
        <w:rPr>
          <w:rFonts w:ascii="微软雅黑" w:eastAsia="微软雅黑" w:hAnsi="微软雅黑" w:hint="eastAsia"/>
        </w:rPr>
        <w:t>条基金会对项目执行过程中的各种数据与信息实行制度化、平台化管理；</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第二十</w:t>
      </w:r>
      <w:r w:rsidR="005F23BE" w:rsidRPr="00DC1DDF">
        <w:rPr>
          <w:rFonts w:ascii="微软雅黑" w:eastAsia="微软雅黑" w:hAnsi="微软雅黑" w:hint="eastAsia"/>
        </w:rPr>
        <w:t>三</w:t>
      </w:r>
      <w:r w:rsidRPr="00DC1DDF">
        <w:rPr>
          <w:rFonts w:ascii="微软雅黑" w:eastAsia="微软雅黑" w:hAnsi="微软雅黑" w:hint="eastAsia"/>
        </w:rPr>
        <w:t>条项目负责人及项目实施单位指定信息专员负责项目的信息管理，信息专员接受基金会项目部的领导和监督。信息专员负责确保项目数据的及时准确，对项目实施提供信息数据的支持，适时对项目数据信息进行分析并形成书面报告，上报基金会项目部；</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第二十</w:t>
      </w:r>
      <w:r w:rsidR="005F23BE" w:rsidRPr="00DC1DDF">
        <w:rPr>
          <w:rFonts w:ascii="微软雅黑" w:eastAsia="微软雅黑" w:hAnsi="微软雅黑" w:hint="eastAsia"/>
        </w:rPr>
        <w:t>四</w:t>
      </w:r>
      <w:r w:rsidRPr="00DC1DDF">
        <w:rPr>
          <w:rFonts w:ascii="微软雅黑" w:eastAsia="微软雅黑" w:hAnsi="微软雅黑" w:hint="eastAsia"/>
        </w:rPr>
        <w:t>条基金会项目部根据项目实施情况，</w:t>
      </w:r>
      <w:r w:rsidRPr="00DC1DDF">
        <w:rPr>
          <w:rFonts w:ascii="微软雅黑" w:eastAsia="微软雅黑" w:hAnsi="微软雅黑" w:hint="eastAsia"/>
          <w:highlight w:val="yellow"/>
        </w:rPr>
        <w:t>利用基金会官方网站或其他媒体向社会公布项目进展及成效。</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lastRenderedPageBreak/>
        <w:t>第七章   附则</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第二十</w:t>
      </w:r>
      <w:r w:rsidR="005F23BE" w:rsidRPr="00DC1DDF">
        <w:rPr>
          <w:rFonts w:ascii="微软雅黑" w:eastAsia="微软雅黑" w:hAnsi="微软雅黑" w:hint="eastAsia"/>
        </w:rPr>
        <w:t>五</w:t>
      </w:r>
      <w:r w:rsidRPr="00DC1DDF">
        <w:rPr>
          <w:rFonts w:ascii="微软雅黑" w:eastAsia="微软雅黑" w:hAnsi="微软雅黑" w:hint="eastAsia"/>
        </w:rPr>
        <w:t>条 根据实际需要，基金会可参照本制度，制定具体项目的管理方法或实施细则；</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 第二十</w:t>
      </w:r>
      <w:r w:rsidR="005F23BE" w:rsidRPr="00DC1DDF">
        <w:rPr>
          <w:rFonts w:ascii="微软雅黑" w:eastAsia="微软雅黑" w:hAnsi="微软雅黑" w:hint="eastAsia"/>
        </w:rPr>
        <w:t>六</w:t>
      </w:r>
      <w:r w:rsidRPr="00DC1DDF">
        <w:rPr>
          <w:rFonts w:ascii="微软雅黑" w:eastAsia="微软雅黑" w:hAnsi="微软雅黑" w:hint="eastAsia"/>
        </w:rPr>
        <w:t>条 本制度经基金会理事会通过后执行；</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 第二十</w:t>
      </w:r>
      <w:r w:rsidR="005F23BE" w:rsidRPr="00DC1DDF">
        <w:rPr>
          <w:rFonts w:ascii="微软雅黑" w:eastAsia="微软雅黑" w:hAnsi="微软雅黑" w:hint="eastAsia"/>
        </w:rPr>
        <w:t>七</w:t>
      </w:r>
      <w:r w:rsidRPr="00DC1DDF">
        <w:rPr>
          <w:rFonts w:ascii="微软雅黑" w:eastAsia="微软雅黑" w:hAnsi="微软雅黑" w:hint="eastAsia"/>
        </w:rPr>
        <w:t>条 </w:t>
      </w:r>
      <w:bookmarkStart w:id="0" w:name="_GoBack"/>
      <w:bookmarkEnd w:id="0"/>
      <w:r w:rsidRPr="00DC1DDF">
        <w:rPr>
          <w:rFonts w:ascii="微软雅黑" w:eastAsia="微软雅黑" w:hAnsi="微软雅黑" w:hint="eastAsia"/>
        </w:rPr>
        <w:t>本制度的解释权归</w:t>
      </w:r>
      <w:r w:rsidR="005F23BE" w:rsidRPr="00DC1DDF">
        <w:rPr>
          <w:rFonts w:ascii="微软雅黑" w:eastAsia="微软雅黑" w:hAnsi="微软雅黑" w:hint="eastAsia"/>
        </w:rPr>
        <w:t>上海市文社艺术</w:t>
      </w:r>
      <w:r w:rsidRPr="00DC1DDF">
        <w:rPr>
          <w:rFonts w:ascii="微软雅黑" w:eastAsia="微软雅黑" w:hAnsi="微软雅黑" w:hint="eastAsia"/>
        </w:rPr>
        <w:t>基金会秘书处。</w:t>
      </w:r>
    </w:p>
    <w:p w:rsidR="00537C8A" w:rsidRPr="00DC1DDF" w:rsidRDefault="00537C8A" w:rsidP="00537C8A">
      <w:pPr>
        <w:rPr>
          <w:rFonts w:ascii="微软雅黑" w:eastAsia="微软雅黑" w:hAnsi="微软雅黑"/>
        </w:rPr>
      </w:pPr>
      <w:r w:rsidRPr="00DC1DDF">
        <w:rPr>
          <w:rFonts w:ascii="微软雅黑" w:eastAsia="微软雅黑" w:hAnsi="微软雅黑" w:hint="eastAsia"/>
        </w:rPr>
        <w:t> </w:t>
      </w:r>
    </w:p>
    <w:sectPr w:rsidR="00537C8A" w:rsidRPr="00DC1DDF" w:rsidSect="00305B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94" w:rsidRDefault="00682194" w:rsidP="00943557">
      <w:r>
        <w:separator/>
      </w:r>
    </w:p>
  </w:endnote>
  <w:endnote w:type="continuationSeparator" w:id="1">
    <w:p w:rsidR="00682194" w:rsidRDefault="00682194" w:rsidP="00943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94" w:rsidRDefault="00682194" w:rsidP="00943557">
      <w:r>
        <w:separator/>
      </w:r>
    </w:p>
  </w:footnote>
  <w:footnote w:type="continuationSeparator" w:id="1">
    <w:p w:rsidR="00682194" w:rsidRDefault="00682194" w:rsidP="00943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DC4"/>
    <w:rsid w:val="00096F62"/>
    <w:rsid w:val="00123E9E"/>
    <w:rsid w:val="00242DC4"/>
    <w:rsid w:val="00266970"/>
    <w:rsid w:val="002F184B"/>
    <w:rsid w:val="00305BB1"/>
    <w:rsid w:val="00392A09"/>
    <w:rsid w:val="00537C8A"/>
    <w:rsid w:val="005C2235"/>
    <w:rsid w:val="005F23BE"/>
    <w:rsid w:val="00682194"/>
    <w:rsid w:val="006D4EE7"/>
    <w:rsid w:val="008D0A1B"/>
    <w:rsid w:val="00943557"/>
    <w:rsid w:val="00950201"/>
    <w:rsid w:val="00B048ED"/>
    <w:rsid w:val="00BC750A"/>
    <w:rsid w:val="00DC1DDF"/>
    <w:rsid w:val="00F253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3557"/>
    <w:rPr>
      <w:sz w:val="18"/>
      <w:szCs w:val="18"/>
    </w:rPr>
  </w:style>
  <w:style w:type="paragraph" w:styleId="a4">
    <w:name w:val="footer"/>
    <w:basedOn w:val="a"/>
    <w:link w:val="Char0"/>
    <w:uiPriority w:val="99"/>
    <w:semiHidden/>
    <w:unhideWhenUsed/>
    <w:rsid w:val="009435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35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303544">
      <w:bodyDiv w:val="1"/>
      <w:marLeft w:val="0"/>
      <w:marRight w:val="0"/>
      <w:marTop w:val="0"/>
      <w:marBottom w:val="0"/>
      <w:divBdr>
        <w:top w:val="none" w:sz="0" w:space="0" w:color="auto"/>
        <w:left w:val="none" w:sz="0" w:space="0" w:color="auto"/>
        <w:bottom w:val="none" w:sz="0" w:space="0" w:color="auto"/>
        <w:right w:val="none" w:sz="0" w:space="0" w:color="auto"/>
      </w:divBdr>
    </w:div>
    <w:div w:id="1081410966">
      <w:bodyDiv w:val="1"/>
      <w:marLeft w:val="0"/>
      <w:marRight w:val="0"/>
      <w:marTop w:val="100"/>
      <w:marBottom w:val="100"/>
      <w:divBdr>
        <w:top w:val="none" w:sz="0" w:space="0" w:color="auto"/>
        <w:left w:val="none" w:sz="0" w:space="0" w:color="auto"/>
        <w:bottom w:val="none" w:sz="0" w:space="0" w:color="auto"/>
        <w:right w:val="none" w:sz="0" w:space="0" w:color="auto"/>
      </w:divBdr>
      <w:divsChild>
        <w:div w:id="334652091">
          <w:marLeft w:val="0"/>
          <w:marRight w:val="0"/>
          <w:marTop w:val="0"/>
          <w:marBottom w:val="0"/>
          <w:divBdr>
            <w:top w:val="none" w:sz="0" w:space="0" w:color="auto"/>
            <w:left w:val="none" w:sz="0" w:space="0" w:color="auto"/>
            <w:bottom w:val="none" w:sz="0" w:space="0" w:color="auto"/>
            <w:right w:val="none" w:sz="0" w:space="0" w:color="auto"/>
          </w:divBdr>
          <w:divsChild>
            <w:div w:id="1737123684">
              <w:marLeft w:val="0"/>
              <w:marRight w:val="0"/>
              <w:marTop w:val="0"/>
              <w:marBottom w:val="0"/>
              <w:divBdr>
                <w:top w:val="none" w:sz="0" w:space="0" w:color="auto"/>
                <w:left w:val="none" w:sz="0" w:space="0" w:color="auto"/>
                <w:bottom w:val="none" w:sz="0" w:space="0" w:color="auto"/>
                <w:right w:val="none" w:sz="0" w:space="0" w:color="auto"/>
              </w:divBdr>
              <w:divsChild>
                <w:div w:id="1006975259">
                  <w:marLeft w:val="0"/>
                  <w:marRight w:val="0"/>
                  <w:marTop w:val="0"/>
                  <w:marBottom w:val="0"/>
                  <w:divBdr>
                    <w:top w:val="none" w:sz="0" w:space="0" w:color="auto"/>
                    <w:left w:val="none" w:sz="0" w:space="0" w:color="auto"/>
                    <w:bottom w:val="none" w:sz="0" w:space="0" w:color="auto"/>
                    <w:right w:val="none" w:sz="0" w:space="0" w:color="auto"/>
                  </w:divBdr>
                  <w:divsChild>
                    <w:div w:id="1882980477">
                      <w:marLeft w:val="0"/>
                      <w:marRight w:val="0"/>
                      <w:marTop w:val="150"/>
                      <w:marBottom w:val="0"/>
                      <w:divBdr>
                        <w:top w:val="none" w:sz="0" w:space="0" w:color="auto"/>
                        <w:left w:val="none" w:sz="0" w:space="0" w:color="auto"/>
                        <w:bottom w:val="none" w:sz="0" w:space="0" w:color="auto"/>
                        <w:right w:val="none" w:sz="0" w:space="0" w:color="auto"/>
                      </w:divBdr>
                      <w:divsChild>
                        <w:div w:id="1417555504">
                          <w:marLeft w:val="0"/>
                          <w:marRight w:val="3450"/>
                          <w:marTop w:val="0"/>
                          <w:marBottom w:val="0"/>
                          <w:divBdr>
                            <w:top w:val="none" w:sz="0" w:space="0" w:color="auto"/>
                            <w:left w:val="none" w:sz="0" w:space="0" w:color="auto"/>
                            <w:bottom w:val="none" w:sz="0" w:space="0" w:color="auto"/>
                            <w:right w:val="none" w:sz="0" w:space="0" w:color="auto"/>
                          </w:divBdr>
                          <w:divsChild>
                            <w:div w:id="1544906041">
                              <w:marLeft w:val="0"/>
                              <w:marRight w:val="0"/>
                              <w:marTop w:val="0"/>
                              <w:marBottom w:val="0"/>
                              <w:divBdr>
                                <w:top w:val="none" w:sz="0" w:space="0" w:color="auto"/>
                                <w:left w:val="none" w:sz="0" w:space="0" w:color="auto"/>
                                <w:bottom w:val="none" w:sz="0" w:space="0" w:color="auto"/>
                                <w:right w:val="none" w:sz="0" w:space="0" w:color="auto"/>
                              </w:divBdr>
                              <w:divsChild>
                                <w:div w:id="585188613">
                                  <w:marLeft w:val="0"/>
                                  <w:marRight w:val="0"/>
                                  <w:marTop w:val="0"/>
                                  <w:marBottom w:val="0"/>
                                  <w:divBdr>
                                    <w:top w:val="none" w:sz="0" w:space="0" w:color="auto"/>
                                    <w:left w:val="none" w:sz="0" w:space="0" w:color="auto"/>
                                    <w:bottom w:val="none" w:sz="0" w:space="0" w:color="auto"/>
                                    <w:right w:val="none" w:sz="0" w:space="0" w:color="auto"/>
                                  </w:divBdr>
                                  <w:divsChild>
                                    <w:div w:id="1163157151">
                                      <w:marLeft w:val="0"/>
                                      <w:marRight w:val="0"/>
                                      <w:marTop w:val="0"/>
                                      <w:marBottom w:val="0"/>
                                      <w:divBdr>
                                        <w:top w:val="none" w:sz="0" w:space="0" w:color="auto"/>
                                        <w:left w:val="none" w:sz="0" w:space="0" w:color="auto"/>
                                        <w:bottom w:val="none" w:sz="0" w:space="0" w:color="auto"/>
                                        <w:right w:val="none" w:sz="0" w:space="0" w:color="auto"/>
                                      </w:divBdr>
                                      <w:divsChild>
                                        <w:div w:id="743067382">
                                          <w:marLeft w:val="0"/>
                                          <w:marRight w:val="0"/>
                                          <w:marTop w:val="0"/>
                                          <w:marBottom w:val="0"/>
                                          <w:divBdr>
                                            <w:top w:val="none" w:sz="0" w:space="0" w:color="auto"/>
                                            <w:left w:val="none" w:sz="0" w:space="0" w:color="auto"/>
                                            <w:bottom w:val="none" w:sz="0" w:space="0" w:color="auto"/>
                                            <w:right w:val="none" w:sz="0" w:space="0" w:color="auto"/>
                                          </w:divBdr>
                                          <w:divsChild>
                                            <w:div w:id="1763649780">
                                              <w:marLeft w:val="0"/>
                                              <w:marRight w:val="0"/>
                                              <w:marTop w:val="0"/>
                                              <w:marBottom w:val="0"/>
                                              <w:divBdr>
                                                <w:top w:val="none" w:sz="0" w:space="0" w:color="auto"/>
                                                <w:left w:val="none" w:sz="0" w:space="0" w:color="auto"/>
                                                <w:bottom w:val="none" w:sz="0" w:space="0" w:color="auto"/>
                                                <w:right w:val="none" w:sz="0" w:space="0" w:color="auto"/>
                                              </w:divBdr>
                                              <w:divsChild>
                                                <w:div w:id="1476291040">
                                                  <w:marLeft w:val="0"/>
                                                  <w:marRight w:val="0"/>
                                                  <w:marTop w:val="0"/>
                                                  <w:marBottom w:val="0"/>
                                                  <w:divBdr>
                                                    <w:top w:val="none" w:sz="0" w:space="0" w:color="auto"/>
                                                    <w:left w:val="none" w:sz="0" w:space="0" w:color="auto"/>
                                                    <w:bottom w:val="none" w:sz="0" w:space="0" w:color="auto"/>
                                                    <w:right w:val="none" w:sz="0" w:space="0" w:color="auto"/>
                                                  </w:divBdr>
                                                  <w:divsChild>
                                                    <w:div w:id="475491111">
                                                      <w:marLeft w:val="0"/>
                                                      <w:marRight w:val="0"/>
                                                      <w:marTop w:val="0"/>
                                                      <w:marBottom w:val="0"/>
                                                      <w:divBdr>
                                                        <w:top w:val="none" w:sz="0" w:space="0" w:color="auto"/>
                                                        <w:left w:val="none" w:sz="0" w:space="0" w:color="auto"/>
                                                        <w:bottom w:val="none" w:sz="0" w:space="0" w:color="auto"/>
                                                        <w:right w:val="none" w:sz="0" w:space="0" w:color="auto"/>
                                                      </w:divBdr>
                                                      <w:divsChild>
                                                        <w:div w:id="444233016">
                                                          <w:marLeft w:val="0"/>
                                                          <w:marRight w:val="0"/>
                                                          <w:marTop w:val="0"/>
                                                          <w:marBottom w:val="0"/>
                                                          <w:divBdr>
                                                            <w:top w:val="none" w:sz="0" w:space="0" w:color="auto"/>
                                                            <w:left w:val="none" w:sz="0" w:space="0" w:color="auto"/>
                                                            <w:bottom w:val="none" w:sz="0" w:space="0" w:color="auto"/>
                                                            <w:right w:val="none" w:sz="0" w:space="0" w:color="auto"/>
                                                          </w:divBdr>
                                                          <w:divsChild>
                                                            <w:div w:id="1954941850">
                                                              <w:marLeft w:val="0"/>
                                                              <w:marRight w:val="0"/>
                                                              <w:marTop w:val="0"/>
                                                              <w:marBottom w:val="0"/>
                                                              <w:divBdr>
                                                                <w:top w:val="none" w:sz="0" w:space="0" w:color="auto"/>
                                                                <w:left w:val="none" w:sz="0" w:space="0" w:color="auto"/>
                                                                <w:bottom w:val="none" w:sz="0" w:space="0" w:color="auto"/>
                                                                <w:right w:val="none" w:sz="0" w:space="0" w:color="auto"/>
                                                              </w:divBdr>
                                                              <w:divsChild>
                                                                <w:div w:id="417795406">
                                                                  <w:marLeft w:val="0"/>
                                                                  <w:marRight w:val="0"/>
                                                                  <w:marTop w:val="0"/>
                                                                  <w:marBottom w:val="0"/>
                                                                  <w:divBdr>
                                                                    <w:top w:val="none" w:sz="0" w:space="0" w:color="auto"/>
                                                                    <w:left w:val="none" w:sz="0" w:space="0" w:color="auto"/>
                                                                    <w:bottom w:val="none" w:sz="0" w:space="0" w:color="auto"/>
                                                                    <w:right w:val="none" w:sz="0" w:space="0" w:color="auto"/>
                                                                  </w:divBdr>
                                                                  <w:divsChild>
                                                                    <w:div w:id="1459302664">
                                                                      <w:marLeft w:val="0"/>
                                                                      <w:marRight w:val="0"/>
                                                                      <w:marTop w:val="0"/>
                                                                      <w:marBottom w:val="0"/>
                                                                      <w:divBdr>
                                                                        <w:top w:val="none" w:sz="0" w:space="0" w:color="auto"/>
                                                                        <w:left w:val="none" w:sz="0" w:space="0" w:color="auto"/>
                                                                        <w:bottom w:val="none" w:sz="0" w:space="0" w:color="auto"/>
                                                                        <w:right w:val="none" w:sz="0" w:space="0" w:color="auto"/>
                                                                      </w:divBdr>
                                                                      <w:divsChild>
                                                                        <w:div w:id="1629160253">
                                                                          <w:marLeft w:val="0"/>
                                                                          <w:marRight w:val="0"/>
                                                                          <w:marTop w:val="0"/>
                                                                          <w:marBottom w:val="0"/>
                                                                          <w:divBdr>
                                                                            <w:top w:val="none" w:sz="0" w:space="0" w:color="auto"/>
                                                                            <w:left w:val="none" w:sz="0" w:space="0" w:color="auto"/>
                                                                            <w:bottom w:val="none" w:sz="0" w:space="0" w:color="auto"/>
                                                                            <w:right w:val="none" w:sz="0" w:space="0" w:color="auto"/>
                                                                          </w:divBdr>
                                                                          <w:divsChild>
                                                                            <w:div w:id="1277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6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298</Words>
  <Characters>1702</Characters>
  <Application>Microsoft Office Word</Application>
  <DocSecurity>0</DocSecurity>
  <Lines>14</Lines>
  <Paragraphs>3</Paragraphs>
  <ScaleCrop>false</ScaleCrop>
  <Company>Inpai</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顾伟民</dc:creator>
  <cp:lastModifiedBy>20170224</cp:lastModifiedBy>
  <cp:revision>7</cp:revision>
  <dcterms:created xsi:type="dcterms:W3CDTF">2017-04-04T15:15:00Z</dcterms:created>
  <dcterms:modified xsi:type="dcterms:W3CDTF">2017-05-04T10:57:00Z</dcterms:modified>
</cp:coreProperties>
</file>